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82D" w:rsidRPr="005E382D" w:rsidRDefault="005E382D" w:rsidP="005E382D">
      <w:pPr>
        <w:spacing w:after="160" w:line="259" w:lineRule="auto"/>
        <w:rPr>
          <w:rFonts w:eastAsia="Calibri" w:cs="Arial"/>
          <w:sz w:val="22"/>
          <w:szCs w:val="22"/>
        </w:rPr>
      </w:pPr>
    </w:p>
    <w:p w:rsidR="005E382D" w:rsidRPr="005E382D" w:rsidRDefault="005E382D" w:rsidP="005E382D">
      <w:pPr>
        <w:spacing w:after="160" w:line="259" w:lineRule="auto"/>
        <w:jc w:val="right"/>
        <w:rPr>
          <w:rFonts w:eastAsia="Calibri" w:cs="Arial"/>
          <w:sz w:val="22"/>
          <w:szCs w:val="22"/>
        </w:rPr>
      </w:pPr>
      <w:r w:rsidRPr="005E382D">
        <w:rPr>
          <w:rFonts w:eastAsia="Calibri" w:cs="Arial"/>
          <w:sz w:val="22"/>
          <w:szCs w:val="22"/>
        </w:rPr>
        <w:t>November 2015</w:t>
      </w:r>
      <w:r w:rsidRPr="005E382D">
        <w:rPr>
          <w:rFonts w:eastAsia="Calibri" w:cs="Arial"/>
          <w:sz w:val="22"/>
          <w:szCs w:val="22"/>
        </w:rPr>
        <w:br/>
      </w:r>
      <w:r w:rsidRPr="005E382D">
        <w:rPr>
          <w:rFonts w:eastAsia="Calibri" w:cs="Arial"/>
          <w:sz w:val="22"/>
          <w:szCs w:val="22"/>
        </w:rPr>
        <w:br/>
      </w:r>
    </w:p>
    <w:p w:rsidR="004C2251" w:rsidRPr="005E382D" w:rsidRDefault="005E382D" w:rsidP="005E382D">
      <w:pPr>
        <w:spacing w:after="160" w:line="259" w:lineRule="auto"/>
        <w:rPr>
          <w:rFonts w:eastAsia="Calibri" w:cs="Arial"/>
          <w:sz w:val="22"/>
          <w:szCs w:val="22"/>
        </w:rPr>
      </w:pPr>
      <w:r w:rsidRPr="005E382D">
        <w:rPr>
          <w:rFonts w:eastAsia="Calibri" w:cs="Arial"/>
          <w:sz w:val="22"/>
          <w:szCs w:val="22"/>
        </w:rPr>
        <w:t>Dear</w:t>
      </w:r>
    </w:p>
    <w:p w:rsidR="005E382D" w:rsidRPr="005E382D" w:rsidRDefault="005E382D" w:rsidP="005E382D">
      <w:pPr>
        <w:spacing w:after="160" w:line="259" w:lineRule="auto"/>
        <w:rPr>
          <w:rFonts w:eastAsia="Calibri" w:cs="Arial"/>
          <w:sz w:val="22"/>
          <w:szCs w:val="22"/>
        </w:rPr>
      </w:pPr>
      <w:bookmarkStart w:id="0" w:name="_GoBack"/>
      <w:bookmarkEnd w:id="0"/>
    </w:p>
    <w:p w:rsidR="004C2251" w:rsidRPr="00C22184" w:rsidRDefault="00C22184" w:rsidP="005B147A">
      <w:pPr>
        <w:rPr>
          <w:rFonts w:eastAsia="Calibri" w:cs="Arial"/>
          <w:b/>
          <w:sz w:val="22"/>
          <w:szCs w:val="22"/>
          <w:lang w:eastAsia="en-US"/>
        </w:rPr>
      </w:pPr>
      <w:r w:rsidRPr="00C22184">
        <w:rPr>
          <w:rFonts w:eastAsia="Calibri" w:cs="Arial"/>
          <w:b/>
          <w:sz w:val="22"/>
          <w:szCs w:val="22"/>
          <w:lang w:eastAsia="en-US"/>
        </w:rPr>
        <w:t>RE: 2015-16 Budget measure that limits the FBT concessions on salary packaged meal and entertainment benefits</w:t>
      </w:r>
      <w:r w:rsidRPr="00C22184">
        <w:rPr>
          <w:rFonts w:eastAsia="Calibri" w:cs="Arial"/>
          <w:b/>
          <w:sz w:val="22"/>
          <w:szCs w:val="22"/>
          <w:lang w:eastAsia="en-US"/>
        </w:rPr>
        <w:br/>
      </w:r>
    </w:p>
    <w:p w:rsidR="005B147A" w:rsidRPr="005E382D" w:rsidRDefault="00AD522A" w:rsidP="003439B8">
      <w:pPr>
        <w:rPr>
          <w:rFonts w:eastAsia="Calibri" w:cs="Arial"/>
          <w:sz w:val="22"/>
          <w:szCs w:val="22"/>
          <w:lang w:eastAsia="en-US"/>
        </w:rPr>
      </w:pPr>
      <w:r w:rsidRPr="005E382D">
        <w:rPr>
          <w:rFonts w:cs="Arial"/>
          <w:sz w:val="22"/>
          <w:szCs w:val="22"/>
        </w:rPr>
        <w:t>I write in relation to the</w:t>
      </w:r>
      <w:r w:rsidR="00D27CAF" w:rsidRPr="005E382D">
        <w:rPr>
          <w:rFonts w:eastAsia="Calibri" w:cs="Arial"/>
          <w:sz w:val="22"/>
          <w:szCs w:val="22"/>
          <w:lang w:eastAsia="en-US"/>
        </w:rPr>
        <w:t xml:space="preserve"> 2015-16 Budget measure that limits the fringe benefits tax concessions on salary packaged meal and entertainment benefits. </w:t>
      </w:r>
    </w:p>
    <w:p w:rsidR="00D27CAF" w:rsidRPr="005E382D" w:rsidRDefault="00D27CAF" w:rsidP="003439B8">
      <w:pPr>
        <w:rPr>
          <w:rFonts w:eastAsia="Calibri" w:cs="Arial"/>
          <w:sz w:val="22"/>
          <w:szCs w:val="22"/>
          <w:lang w:eastAsia="en-US"/>
        </w:rPr>
      </w:pPr>
    </w:p>
    <w:p w:rsidR="00D27CAF" w:rsidRPr="005E382D" w:rsidRDefault="00533373" w:rsidP="003439B8">
      <w:pPr>
        <w:rPr>
          <w:rFonts w:eastAsia="Calibri" w:cs="Arial"/>
          <w:sz w:val="22"/>
          <w:szCs w:val="22"/>
          <w:lang w:eastAsia="en-US"/>
        </w:rPr>
      </w:pPr>
      <w:r w:rsidRPr="005E382D">
        <w:rPr>
          <w:rFonts w:eastAsia="Calibri" w:cs="Arial"/>
          <w:sz w:val="22"/>
          <w:szCs w:val="22"/>
          <w:lang w:eastAsia="en-US"/>
        </w:rPr>
        <w:t xml:space="preserve">The proposed amendments </w:t>
      </w:r>
      <w:r w:rsidR="0059748C" w:rsidRPr="005E382D">
        <w:rPr>
          <w:rFonts w:eastAsia="Calibri" w:cs="Arial"/>
          <w:sz w:val="22"/>
          <w:szCs w:val="22"/>
          <w:lang w:eastAsia="en-US"/>
        </w:rPr>
        <w:t xml:space="preserve">that will limit the fringe benefits tax concessions on salary packaged meal and entertainment benefits </w:t>
      </w:r>
      <w:r w:rsidRPr="005E382D">
        <w:rPr>
          <w:rFonts w:eastAsia="Calibri" w:cs="Arial"/>
          <w:sz w:val="22"/>
          <w:szCs w:val="22"/>
          <w:lang w:eastAsia="en-US"/>
        </w:rPr>
        <w:t>will have an impact on the work of public hospitals a</w:t>
      </w:r>
      <w:r w:rsidR="00AD522A" w:rsidRPr="005E382D">
        <w:rPr>
          <w:rFonts w:eastAsia="Calibri" w:cs="Arial"/>
          <w:sz w:val="22"/>
          <w:szCs w:val="22"/>
          <w:lang w:eastAsia="en-US"/>
        </w:rPr>
        <w:t>nd their</w:t>
      </w:r>
      <w:r w:rsidR="00C618D1" w:rsidRPr="005E382D">
        <w:rPr>
          <w:rFonts w:eastAsia="Calibri" w:cs="Arial"/>
          <w:sz w:val="22"/>
          <w:szCs w:val="22"/>
          <w:lang w:eastAsia="en-US"/>
        </w:rPr>
        <w:t xml:space="preserve"> doctors, specifically their recruitment and retention in the public hospital sector. </w:t>
      </w:r>
    </w:p>
    <w:p w:rsidR="00C618D1" w:rsidRPr="005E382D" w:rsidRDefault="00C618D1" w:rsidP="003439B8">
      <w:pPr>
        <w:rPr>
          <w:rFonts w:eastAsia="Calibri" w:cs="Arial"/>
          <w:sz w:val="22"/>
          <w:szCs w:val="22"/>
          <w:lang w:eastAsia="en-US"/>
        </w:rPr>
      </w:pPr>
    </w:p>
    <w:p w:rsidR="00312E83" w:rsidRPr="005E382D" w:rsidRDefault="00312E83" w:rsidP="00312E83">
      <w:pPr>
        <w:rPr>
          <w:rFonts w:eastAsia="Calibri" w:cs="Arial"/>
          <w:sz w:val="22"/>
          <w:szCs w:val="22"/>
          <w:lang w:eastAsia="en-US"/>
        </w:rPr>
      </w:pPr>
      <w:r w:rsidRPr="005E382D">
        <w:rPr>
          <w:rFonts w:eastAsia="Calibri" w:cs="Arial"/>
          <w:sz w:val="22"/>
          <w:szCs w:val="22"/>
          <w:lang w:eastAsia="en-US"/>
        </w:rPr>
        <w:t xml:space="preserve">The proposed legislative amendments have occurred without consultation with those most likely to be affected by the changes. </w:t>
      </w:r>
    </w:p>
    <w:p w:rsidR="00312E83" w:rsidRPr="005E382D" w:rsidRDefault="00312E83" w:rsidP="00312E83">
      <w:pPr>
        <w:rPr>
          <w:rFonts w:eastAsia="Calibri" w:cs="Arial"/>
          <w:sz w:val="22"/>
          <w:szCs w:val="22"/>
          <w:lang w:eastAsia="en-US"/>
        </w:rPr>
      </w:pPr>
    </w:p>
    <w:p w:rsidR="00C618D1" w:rsidRPr="005E382D" w:rsidRDefault="00312E83" w:rsidP="00C618D1">
      <w:pPr>
        <w:rPr>
          <w:rFonts w:eastAsia="Calibri" w:cs="Arial"/>
          <w:sz w:val="22"/>
          <w:szCs w:val="22"/>
          <w:lang w:eastAsia="en-US"/>
        </w:rPr>
      </w:pPr>
      <w:r w:rsidRPr="005E382D">
        <w:rPr>
          <w:rFonts w:cs="Arial"/>
          <w:sz w:val="22"/>
          <w:szCs w:val="22"/>
        </w:rPr>
        <w:t>T</w:t>
      </w:r>
      <w:r w:rsidR="00C618D1" w:rsidRPr="005E382D">
        <w:rPr>
          <w:rFonts w:cs="Arial"/>
          <w:sz w:val="22"/>
          <w:szCs w:val="22"/>
        </w:rPr>
        <w:t>he current tax concessions available to the public hospital sector</w:t>
      </w:r>
      <w:r w:rsidRPr="005E382D">
        <w:rPr>
          <w:rFonts w:cs="Arial"/>
          <w:sz w:val="22"/>
          <w:szCs w:val="22"/>
        </w:rPr>
        <w:t xml:space="preserve"> are an effective and efficient way to ensure </w:t>
      </w:r>
      <w:r w:rsidR="00C618D1" w:rsidRPr="005E382D">
        <w:rPr>
          <w:rFonts w:cs="Arial"/>
          <w:sz w:val="22"/>
          <w:szCs w:val="22"/>
        </w:rPr>
        <w:t>the recruitment of high quality professionals to our public hospital system.</w:t>
      </w:r>
    </w:p>
    <w:p w:rsidR="00C618D1" w:rsidRPr="005E382D" w:rsidRDefault="00C618D1" w:rsidP="003439B8">
      <w:pPr>
        <w:rPr>
          <w:rFonts w:eastAsia="Calibri" w:cs="Arial"/>
          <w:sz w:val="22"/>
          <w:szCs w:val="22"/>
          <w:lang w:eastAsia="en-US"/>
        </w:rPr>
      </w:pPr>
    </w:p>
    <w:p w:rsidR="00C618D1" w:rsidRPr="005E382D" w:rsidRDefault="00C618D1" w:rsidP="003439B8">
      <w:pPr>
        <w:rPr>
          <w:rFonts w:eastAsia="Calibri" w:cs="Arial"/>
          <w:sz w:val="22"/>
          <w:szCs w:val="22"/>
          <w:lang w:eastAsia="en-US"/>
        </w:rPr>
      </w:pPr>
      <w:r w:rsidRPr="005E382D">
        <w:rPr>
          <w:rFonts w:eastAsia="Calibri" w:cs="Arial"/>
          <w:sz w:val="22"/>
          <w:szCs w:val="22"/>
          <w:lang w:eastAsia="en-US"/>
        </w:rPr>
        <w:t>M</w:t>
      </w:r>
      <w:r w:rsidR="003250D9" w:rsidRPr="005E382D">
        <w:rPr>
          <w:rFonts w:eastAsia="Calibri" w:cs="Arial"/>
          <w:sz w:val="22"/>
          <w:szCs w:val="22"/>
          <w:lang w:eastAsia="en-US"/>
        </w:rPr>
        <w:t xml:space="preserve">any </w:t>
      </w:r>
      <w:r w:rsidRPr="005E382D">
        <w:rPr>
          <w:rFonts w:eastAsia="Calibri" w:cs="Arial"/>
          <w:sz w:val="22"/>
          <w:szCs w:val="22"/>
          <w:lang w:eastAsia="en-US"/>
        </w:rPr>
        <w:t xml:space="preserve">not for profit organisations, which includes public hospitals in Victoria, </w:t>
      </w:r>
      <w:r w:rsidR="003250D9" w:rsidRPr="005E382D">
        <w:rPr>
          <w:rFonts w:eastAsia="Calibri" w:cs="Arial"/>
          <w:sz w:val="22"/>
          <w:szCs w:val="22"/>
          <w:lang w:eastAsia="en-US"/>
        </w:rPr>
        <w:t>rely on tax concessions (including meals</w:t>
      </w:r>
      <w:r w:rsidR="00A8244A" w:rsidRPr="005E382D">
        <w:rPr>
          <w:rFonts w:eastAsia="Calibri" w:cs="Arial"/>
          <w:sz w:val="22"/>
          <w:szCs w:val="22"/>
          <w:lang w:eastAsia="en-US"/>
        </w:rPr>
        <w:t xml:space="preserve"> and</w:t>
      </w:r>
      <w:r w:rsidR="003250D9" w:rsidRPr="005E382D">
        <w:rPr>
          <w:rFonts w:eastAsia="Calibri" w:cs="Arial"/>
          <w:sz w:val="22"/>
          <w:szCs w:val="22"/>
          <w:lang w:eastAsia="en-US"/>
        </w:rPr>
        <w:t xml:space="preserve"> entertainment) to attract staff</w:t>
      </w:r>
      <w:r w:rsidRPr="005E382D">
        <w:rPr>
          <w:rFonts w:eastAsia="Calibri" w:cs="Arial"/>
          <w:sz w:val="22"/>
          <w:szCs w:val="22"/>
          <w:lang w:eastAsia="en-US"/>
        </w:rPr>
        <w:t xml:space="preserve"> in lieu of being able to provide salaries that are in line with the private sector</w:t>
      </w:r>
      <w:r w:rsidR="003250D9" w:rsidRPr="005E382D">
        <w:rPr>
          <w:rFonts w:eastAsia="Calibri" w:cs="Arial"/>
          <w:sz w:val="22"/>
          <w:szCs w:val="22"/>
          <w:lang w:eastAsia="en-US"/>
        </w:rPr>
        <w:t xml:space="preserve">.  </w:t>
      </w:r>
      <w:r w:rsidRPr="005E382D">
        <w:rPr>
          <w:rFonts w:eastAsia="Calibri" w:cs="Arial"/>
          <w:sz w:val="22"/>
          <w:szCs w:val="22"/>
          <w:lang w:eastAsia="en-US"/>
        </w:rPr>
        <w:t xml:space="preserve">Reducing these benefits is effectively a reduction in salary for staff working in the not for profit sector and may lead to the loss of staff and therefore a limitation on services to the disadvantaged. </w:t>
      </w:r>
    </w:p>
    <w:p w:rsidR="00C618D1" w:rsidRPr="005E382D" w:rsidRDefault="00C618D1" w:rsidP="003439B8">
      <w:pPr>
        <w:rPr>
          <w:rFonts w:eastAsia="Calibri" w:cs="Arial"/>
          <w:sz w:val="22"/>
          <w:szCs w:val="22"/>
          <w:lang w:eastAsia="en-US"/>
        </w:rPr>
      </w:pPr>
    </w:p>
    <w:p w:rsidR="00AA5BB7" w:rsidRPr="005E382D" w:rsidRDefault="00C61D2E" w:rsidP="003439B8">
      <w:pPr>
        <w:rPr>
          <w:rFonts w:eastAsia="Calibri" w:cs="Arial"/>
          <w:sz w:val="22"/>
          <w:szCs w:val="22"/>
          <w:lang w:eastAsia="en-US"/>
        </w:rPr>
      </w:pPr>
      <w:r w:rsidRPr="005E382D">
        <w:rPr>
          <w:rFonts w:eastAsia="Calibri" w:cs="Arial"/>
          <w:sz w:val="22"/>
          <w:szCs w:val="22"/>
          <w:lang w:eastAsia="en-US"/>
        </w:rPr>
        <w:t>Many specialists working in public hospitals d</w:t>
      </w:r>
      <w:r w:rsidR="00284775" w:rsidRPr="005E382D">
        <w:rPr>
          <w:rFonts w:eastAsia="Calibri" w:cs="Arial"/>
          <w:sz w:val="22"/>
          <w:szCs w:val="22"/>
          <w:lang w:eastAsia="en-US"/>
        </w:rPr>
        <w:t xml:space="preserve">o so </w:t>
      </w:r>
      <w:r w:rsidR="00A8244A" w:rsidRPr="005E382D">
        <w:rPr>
          <w:rFonts w:eastAsia="Calibri" w:cs="Arial"/>
          <w:sz w:val="22"/>
          <w:szCs w:val="22"/>
          <w:lang w:eastAsia="en-US"/>
        </w:rPr>
        <w:t xml:space="preserve">for </w:t>
      </w:r>
      <w:r w:rsidR="00C618D1" w:rsidRPr="005E382D">
        <w:rPr>
          <w:rFonts w:eastAsia="Calibri" w:cs="Arial"/>
          <w:sz w:val="22"/>
          <w:szCs w:val="22"/>
          <w:lang w:eastAsia="en-US"/>
        </w:rPr>
        <w:t>significantly lower salary</w:t>
      </w:r>
      <w:r w:rsidRPr="005E382D">
        <w:rPr>
          <w:rFonts w:eastAsia="Calibri" w:cs="Arial"/>
          <w:sz w:val="22"/>
          <w:szCs w:val="22"/>
          <w:lang w:eastAsia="en-US"/>
        </w:rPr>
        <w:t xml:space="preserve"> </w:t>
      </w:r>
      <w:r w:rsidR="000E7F0B" w:rsidRPr="005E382D">
        <w:rPr>
          <w:rFonts w:eastAsia="Calibri" w:cs="Arial"/>
          <w:sz w:val="22"/>
          <w:szCs w:val="22"/>
          <w:lang w:eastAsia="en-US"/>
        </w:rPr>
        <w:t xml:space="preserve">than they would otherwise receive </w:t>
      </w:r>
      <w:r w:rsidR="00C618D1" w:rsidRPr="005E382D">
        <w:rPr>
          <w:rFonts w:eastAsia="Calibri" w:cs="Arial"/>
          <w:sz w:val="22"/>
          <w:szCs w:val="22"/>
          <w:lang w:eastAsia="en-US"/>
        </w:rPr>
        <w:t xml:space="preserve">working </w:t>
      </w:r>
      <w:r w:rsidR="000E7F0B" w:rsidRPr="005E382D">
        <w:rPr>
          <w:rFonts w:eastAsia="Calibri" w:cs="Arial"/>
          <w:sz w:val="22"/>
          <w:szCs w:val="22"/>
          <w:lang w:eastAsia="en-US"/>
        </w:rPr>
        <w:t>in private practice.</w:t>
      </w:r>
      <w:r w:rsidR="00B91B11" w:rsidRPr="005E382D">
        <w:rPr>
          <w:rFonts w:eastAsia="Calibri" w:cs="Arial"/>
          <w:sz w:val="22"/>
          <w:szCs w:val="22"/>
          <w:lang w:eastAsia="en-US"/>
        </w:rPr>
        <w:t xml:space="preserve">  Access to meals/</w:t>
      </w:r>
      <w:r w:rsidRPr="005E382D">
        <w:rPr>
          <w:rFonts w:eastAsia="Calibri" w:cs="Arial"/>
          <w:sz w:val="22"/>
          <w:szCs w:val="22"/>
          <w:lang w:eastAsia="en-US"/>
        </w:rPr>
        <w:t xml:space="preserve">entertainment </w:t>
      </w:r>
      <w:r w:rsidR="00284775" w:rsidRPr="005E382D">
        <w:rPr>
          <w:rFonts w:eastAsia="Calibri" w:cs="Arial"/>
          <w:sz w:val="22"/>
          <w:szCs w:val="22"/>
          <w:lang w:eastAsia="en-US"/>
        </w:rPr>
        <w:t xml:space="preserve">concessions </w:t>
      </w:r>
      <w:r w:rsidRPr="005E382D">
        <w:rPr>
          <w:rFonts w:eastAsia="Calibri" w:cs="Arial"/>
          <w:sz w:val="22"/>
          <w:szCs w:val="22"/>
          <w:lang w:eastAsia="en-US"/>
        </w:rPr>
        <w:t>m</w:t>
      </w:r>
      <w:r w:rsidR="00A4169A" w:rsidRPr="005E382D">
        <w:rPr>
          <w:rFonts w:eastAsia="Calibri" w:cs="Arial"/>
          <w:sz w:val="22"/>
          <w:szCs w:val="22"/>
          <w:lang w:eastAsia="en-US"/>
        </w:rPr>
        <w:t>ean</w:t>
      </w:r>
      <w:r w:rsidR="00284775" w:rsidRPr="005E382D">
        <w:rPr>
          <w:rFonts w:eastAsia="Calibri" w:cs="Arial"/>
          <w:sz w:val="22"/>
          <w:szCs w:val="22"/>
          <w:lang w:eastAsia="en-US"/>
        </w:rPr>
        <w:t xml:space="preserve"> that </w:t>
      </w:r>
      <w:r w:rsidR="00B91B11" w:rsidRPr="005E382D">
        <w:rPr>
          <w:rFonts w:eastAsia="Calibri" w:cs="Arial"/>
          <w:sz w:val="22"/>
          <w:szCs w:val="22"/>
          <w:lang w:eastAsia="en-US"/>
        </w:rPr>
        <w:t>doctors</w:t>
      </w:r>
      <w:r w:rsidR="00284775" w:rsidRPr="005E382D">
        <w:rPr>
          <w:rFonts w:eastAsia="Calibri" w:cs="Arial"/>
          <w:sz w:val="22"/>
          <w:szCs w:val="22"/>
          <w:lang w:eastAsia="en-US"/>
        </w:rPr>
        <w:t xml:space="preserve"> who </w:t>
      </w:r>
      <w:r w:rsidRPr="005E382D">
        <w:rPr>
          <w:rFonts w:eastAsia="Calibri" w:cs="Arial"/>
          <w:sz w:val="22"/>
          <w:szCs w:val="22"/>
          <w:lang w:eastAsia="en-US"/>
        </w:rPr>
        <w:t>work</w:t>
      </w:r>
      <w:r w:rsidR="00284775" w:rsidRPr="005E382D">
        <w:rPr>
          <w:rFonts w:eastAsia="Calibri" w:cs="Arial"/>
          <w:sz w:val="22"/>
          <w:szCs w:val="22"/>
          <w:lang w:eastAsia="en-US"/>
        </w:rPr>
        <w:t xml:space="preserve"> long</w:t>
      </w:r>
      <w:r w:rsidRPr="005E382D">
        <w:rPr>
          <w:rFonts w:eastAsia="Calibri" w:cs="Arial"/>
          <w:sz w:val="22"/>
          <w:szCs w:val="22"/>
          <w:lang w:eastAsia="en-US"/>
        </w:rPr>
        <w:t xml:space="preserve"> shifts at odd hours are able to access meals tax free.  </w:t>
      </w:r>
      <w:r w:rsidR="00284775" w:rsidRPr="005E382D">
        <w:rPr>
          <w:rFonts w:eastAsia="Calibri" w:cs="Arial"/>
          <w:sz w:val="22"/>
          <w:szCs w:val="22"/>
          <w:lang w:eastAsia="en-US"/>
        </w:rPr>
        <w:t>A</w:t>
      </w:r>
      <w:r w:rsidRPr="005E382D">
        <w:rPr>
          <w:rFonts w:eastAsia="Calibri" w:cs="Arial"/>
          <w:sz w:val="22"/>
          <w:szCs w:val="22"/>
          <w:lang w:eastAsia="en-US"/>
        </w:rPr>
        <w:t xml:space="preserve"> limit of $</w:t>
      </w:r>
      <w:r w:rsidR="00284775" w:rsidRPr="005E382D">
        <w:rPr>
          <w:rFonts w:eastAsia="Calibri" w:cs="Arial"/>
          <w:sz w:val="22"/>
          <w:szCs w:val="22"/>
          <w:lang w:eastAsia="en-US"/>
        </w:rPr>
        <w:t>2550 per annum</w:t>
      </w:r>
      <w:r w:rsidRPr="005E382D">
        <w:rPr>
          <w:rFonts w:eastAsia="Calibri" w:cs="Arial"/>
          <w:sz w:val="22"/>
          <w:szCs w:val="22"/>
          <w:lang w:eastAsia="en-US"/>
        </w:rPr>
        <w:t xml:space="preserve"> provides $10 per working day </w:t>
      </w:r>
      <w:r w:rsidR="00284775" w:rsidRPr="005E382D">
        <w:rPr>
          <w:rFonts w:eastAsia="Calibri" w:cs="Arial"/>
          <w:sz w:val="22"/>
          <w:szCs w:val="22"/>
          <w:lang w:eastAsia="en-US"/>
        </w:rPr>
        <w:t>for a meal</w:t>
      </w:r>
      <w:r w:rsidR="00A8244A" w:rsidRPr="005E382D">
        <w:rPr>
          <w:rFonts w:eastAsia="Calibri" w:cs="Arial"/>
          <w:sz w:val="22"/>
          <w:szCs w:val="22"/>
          <w:lang w:eastAsia="en-US"/>
        </w:rPr>
        <w:t>,</w:t>
      </w:r>
      <w:r w:rsidR="000E7F0B" w:rsidRPr="005E382D">
        <w:rPr>
          <w:rFonts w:eastAsia="Calibri" w:cs="Arial"/>
          <w:sz w:val="22"/>
          <w:szCs w:val="22"/>
          <w:lang w:eastAsia="en-US"/>
        </w:rPr>
        <w:t xml:space="preserve"> </w:t>
      </w:r>
      <w:r w:rsidR="00A8244A" w:rsidRPr="005E382D">
        <w:rPr>
          <w:rFonts w:eastAsia="Calibri" w:cs="Arial"/>
          <w:sz w:val="22"/>
          <w:szCs w:val="22"/>
          <w:lang w:eastAsia="en-US"/>
        </w:rPr>
        <w:t xml:space="preserve">but this </w:t>
      </w:r>
      <w:r w:rsidR="000E7F0B" w:rsidRPr="005E382D">
        <w:rPr>
          <w:rFonts w:eastAsia="Calibri" w:cs="Arial"/>
          <w:sz w:val="22"/>
          <w:szCs w:val="22"/>
          <w:lang w:eastAsia="en-US"/>
        </w:rPr>
        <w:t xml:space="preserve">will not meet the cost of even a basic meal during work hours. </w:t>
      </w:r>
    </w:p>
    <w:p w:rsidR="000E7F0B" w:rsidRPr="005E382D" w:rsidRDefault="000E7F0B" w:rsidP="003439B8">
      <w:pPr>
        <w:rPr>
          <w:rFonts w:eastAsia="Calibri" w:cs="Arial"/>
          <w:sz w:val="22"/>
          <w:szCs w:val="22"/>
          <w:lang w:eastAsia="en-US"/>
        </w:rPr>
      </w:pPr>
    </w:p>
    <w:p w:rsidR="00B91B11" w:rsidRPr="005E382D" w:rsidRDefault="00284775" w:rsidP="003439B8">
      <w:pPr>
        <w:rPr>
          <w:rFonts w:eastAsia="Calibri" w:cs="Arial"/>
          <w:sz w:val="22"/>
          <w:szCs w:val="22"/>
          <w:lang w:eastAsia="en-US"/>
        </w:rPr>
      </w:pPr>
      <w:r w:rsidRPr="005E382D">
        <w:rPr>
          <w:rFonts w:eastAsia="Calibri" w:cs="Arial"/>
          <w:sz w:val="22"/>
          <w:szCs w:val="22"/>
          <w:lang w:eastAsia="en-US"/>
        </w:rPr>
        <w:t>The Australian Government is already reviewing the tax system</w:t>
      </w:r>
      <w:r w:rsidR="00C618D1" w:rsidRPr="005E382D">
        <w:rPr>
          <w:rFonts w:eastAsia="Calibri" w:cs="Arial"/>
          <w:sz w:val="22"/>
          <w:szCs w:val="22"/>
          <w:lang w:eastAsia="en-US"/>
        </w:rPr>
        <w:t xml:space="preserve"> and I would ask that, at a minimum, you await the outcomes of this process before supporting any legislative changes to the current system. </w:t>
      </w:r>
    </w:p>
    <w:p w:rsidR="00B91B11" w:rsidRPr="005E382D" w:rsidRDefault="00B91B11" w:rsidP="003439B8">
      <w:pPr>
        <w:rPr>
          <w:rFonts w:eastAsia="Calibri" w:cs="Arial"/>
          <w:sz w:val="22"/>
          <w:szCs w:val="22"/>
          <w:lang w:eastAsia="en-US"/>
        </w:rPr>
      </w:pPr>
    </w:p>
    <w:p w:rsidR="00B91B11" w:rsidRPr="005E382D" w:rsidRDefault="00C618D1" w:rsidP="00B91B11">
      <w:pPr>
        <w:rPr>
          <w:rFonts w:eastAsia="Calibri" w:cs="Arial"/>
          <w:sz w:val="22"/>
          <w:szCs w:val="22"/>
          <w:lang w:eastAsia="en-US"/>
        </w:rPr>
      </w:pPr>
      <w:r w:rsidRPr="005E382D">
        <w:rPr>
          <w:rFonts w:eastAsia="Calibri" w:cs="Arial"/>
          <w:sz w:val="22"/>
          <w:szCs w:val="22"/>
          <w:lang w:eastAsia="en-US"/>
        </w:rPr>
        <w:t xml:space="preserve">If these changes go ahead the </w:t>
      </w:r>
      <w:r w:rsidR="00B91B11" w:rsidRPr="005E382D">
        <w:rPr>
          <w:rFonts w:eastAsia="Calibri" w:cs="Arial"/>
          <w:sz w:val="22"/>
          <w:szCs w:val="22"/>
          <w:lang w:eastAsia="en-US"/>
        </w:rPr>
        <w:t xml:space="preserve">Government should agree to direct funding to public hospitals </w:t>
      </w:r>
      <w:r w:rsidRPr="005E382D">
        <w:rPr>
          <w:rFonts w:eastAsia="Calibri" w:cs="Arial"/>
          <w:sz w:val="22"/>
          <w:szCs w:val="22"/>
          <w:lang w:eastAsia="en-US"/>
        </w:rPr>
        <w:t xml:space="preserve">to ensure that those who are currently employed in the public system are not disadvantaged. </w:t>
      </w:r>
    </w:p>
    <w:p w:rsidR="00284775" w:rsidRPr="005E382D" w:rsidRDefault="00284775" w:rsidP="003439B8">
      <w:pPr>
        <w:rPr>
          <w:rFonts w:eastAsia="Calibri" w:cs="Arial"/>
          <w:sz w:val="22"/>
          <w:szCs w:val="22"/>
          <w:lang w:eastAsia="en-US"/>
        </w:rPr>
      </w:pPr>
    </w:p>
    <w:p w:rsidR="00AD522A" w:rsidRPr="005E382D" w:rsidRDefault="003439B8" w:rsidP="003439B8">
      <w:pPr>
        <w:rPr>
          <w:rFonts w:eastAsia="Calibri" w:cs="Arial"/>
          <w:noProof/>
          <w:sz w:val="22"/>
          <w:szCs w:val="22"/>
        </w:rPr>
      </w:pPr>
      <w:r w:rsidRPr="005E382D">
        <w:rPr>
          <w:rFonts w:eastAsia="Calibri" w:cs="Arial"/>
          <w:sz w:val="22"/>
          <w:szCs w:val="22"/>
          <w:lang w:eastAsia="en-US"/>
        </w:rPr>
        <w:t xml:space="preserve">Yours </w:t>
      </w:r>
      <w:r w:rsidR="00A8244A" w:rsidRPr="005E382D">
        <w:rPr>
          <w:rFonts w:eastAsia="Calibri" w:cs="Arial"/>
          <w:sz w:val="22"/>
          <w:szCs w:val="22"/>
          <w:lang w:eastAsia="en-US"/>
        </w:rPr>
        <w:t>s</w:t>
      </w:r>
      <w:r w:rsidRPr="005E382D">
        <w:rPr>
          <w:rFonts w:eastAsia="Calibri" w:cs="Arial"/>
          <w:sz w:val="22"/>
          <w:szCs w:val="22"/>
          <w:lang w:eastAsia="en-US"/>
        </w:rPr>
        <w:t>incerely</w:t>
      </w:r>
      <w:r w:rsidR="005E382D" w:rsidRPr="005E382D">
        <w:rPr>
          <w:rFonts w:eastAsia="Calibri" w:cs="Arial"/>
          <w:sz w:val="22"/>
          <w:szCs w:val="22"/>
          <w:lang w:eastAsia="en-US"/>
        </w:rPr>
        <w:t>,</w:t>
      </w:r>
    </w:p>
    <w:p w:rsidR="005E382D" w:rsidRDefault="005E382D" w:rsidP="003439B8">
      <w:pPr>
        <w:rPr>
          <w:rFonts w:ascii="Verdana" w:eastAsia="Calibri" w:hAnsi="Verdana"/>
          <w:lang w:eastAsia="en-US"/>
        </w:rPr>
      </w:pPr>
    </w:p>
    <w:p w:rsidR="005E382D" w:rsidRPr="005E382D" w:rsidRDefault="005E382D" w:rsidP="005E382D">
      <w:pPr>
        <w:rPr>
          <w:rFonts w:ascii="Verdana" w:eastAsia="Calibri" w:hAnsi="Verdana"/>
          <w:lang w:eastAsia="en-US"/>
        </w:rPr>
      </w:pPr>
    </w:p>
    <w:p w:rsidR="005E382D" w:rsidRPr="005E382D" w:rsidRDefault="005E382D" w:rsidP="005E382D">
      <w:pPr>
        <w:rPr>
          <w:rFonts w:ascii="Verdana" w:eastAsia="Calibri" w:hAnsi="Verdana"/>
          <w:lang w:eastAsia="en-US"/>
        </w:rPr>
      </w:pPr>
    </w:p>
    <w:p w:rsidR="005E382D" w:rsidRPr="005E382D" w:rsidRDefault="005E382D" w:rsidP="005E382D">
      <w:pPr>
        <w:rPr>
          <w:rFonts w:ascii="Verdana" w:eastAsia="Calibri" w:hAnsi="Verdana"/>
          <w:lang w:eastAsia="en-US"/>
        </w:rPr>
      </w:pPr>
    </w:p>
    <w:p w:rsidR="005E382D" w:rsidRPr="005E382D" w:rsidRDefault="005E382D" w:rsidP="005E382D">
      <w:pPr>
        <w:rPr>
          <w:rFonts w:ascii="Verdana" w:eastAsia="Calibri" w:hAnsi="Verdana"/>
          <w:lang w:eastAsia="en-US"/>
        </w:rPr>
      </w:pPr>
    </w:p>
    <w:p w:rsidR="005E382D" w:rsidRPr="005E382D" w:rsidRDefault="005E382D" w:rsidP="005E382D">
      <w:pPr>
        <w:rPr>
          <w:rFonts w:ascii="Verdana" w:eastAsia="Calibri" w:hAnsi="Verdana"/>
          <w:lang w:eastAsia="en-US"/>
        </w:rPr>
      </w:pPr>
    </w:p>
    <w:p w:rsidR="005E382D" w:rsidRPr="005E382D" w:rsidRDefault="005E382D" w:rsidP="005E382D">
      <w:pPr>
        <w:rPr>
          <w:rFonts w:ascii="Verdana" w:eastAsia="Calibri" w:hAnsi="Verdana"/>
          <w:lang w:eastAsia="en-US"/>
        </w:rPr>
      </w:pPr>
    </w:p>
    <w:p w:rsidR="005E382D" w:rsidRPr="005E382D" w:rsidRDefault="005E382D" w:rsidP="005E382D">
      <w:pPr>
        <w:rPr>
          <w:rFonts w:ascii="Verdana" w:eastAsia="Calibri" w:hAnsi="Verdana"/>
          <w:lang w:eastAsia="en-US"/>
        </w:rPr>
      </w:pPr>
    </w:p>
    <w:p w:rsidR="005E382D" w:rsidRPr="005E382D" w:rsidRDefault="005E382D" w:rsidP="005E382D">
      <w:pPr>
        <w:rPr>
          <w:rFonts w:ascii="Verdana" w:eastAsia="Calibri" w:hAnsi="Verdana"/>
          <w:lang w:eastAsia="en-US"/>
        </w:rPr>
      </w:pPr>
    </w:p>
    <w:p w:rsidR="005E382D" w:rsidRPr="005E382D" w:rsidRDefault="005E382D" w:rsidP="005E382D">
      <w:pPr>
        <w:rPr>
          <w:rFonts w:ascii="Verdana" w:eastAsia="Calibri" w:hAnsi="Verdana"/>
          <w:lang w:eastAsia="en-US"/>
        </w:rPr>
      </w:pPr>
    </w:p>
    <w:p w:rsidR="00AD522A" w:rsidRPr="005E382D" w:rsidRDefault="00AD522A" w:rsidP="005E382D">
      <w:pPr>
        <w:rPr>
          <w:rFonts w:ascii="Verdana" w:eastAsia="Calibri" w:hAnsi="Verdana"/>
          <w:lang w:eastAsia="en-US"/>
        </w:rPr>
      </w:pPr>
    </w:p>
    <w:sectPr w:rsidR="00AD522A" w:rsidRPr="005E382D" w:rsidSect="004C2251">
      <w:footerReference w:type="default" r:id="rId11"/>
      <w:headerReference w:type="first" r:id="rId12"/>
      <w:footerReference w:type="first" r:id="rId13"/>
      <w:pgSz w:w="11909" w:h="16834" w:code="9"/>
      <w:pgMar w:top="851" w:right="1418" w:bottom="284" w:left="1418" w:header="284" w:footer="284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D90" w:rsidRDefault="00C96D90">
      <w:r>
        <w:separator/>
      </w:r>
    </w:p>
  </w:endnote>
  <w:endnote w:type="continuationSeparator" w:id="0">
    <w:p w:rsidR="00C96D90" w:rsidRDefault="00C96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26C" w:rsidRPr="003439B8" w:rsidRDefault="0073626C" w:rsidP="003439B8">
    <w:pPr>
      <w:pStyle w:val="Footer"/>
      <w:jc w:val="right"/>
      <w:rPr>
        <w:b/>
        <w:color w:val="auto"/>
        <w:szCs w:val="14"/>
      </w:rPr>
    </w:pPr>
    <w:r w:rsidRPr="003439B8">
      <w:rPr>
        <w:b/>
        <w:snapToGrid w:val="0"/>
        <w:color w:val="auto"/>
        <w:lang w:eastAsia="en-US"/>
      </w:rPr>
      <w:t xml:space="preserve">Page </w:t>
    </w:r>
    <w:r w:rsidRPr="003439B8">
      <w:rPr>
        <w:b/>
        <w:snapToGrid w:val="0"/>
        <w:color w:val="auto"/>
        <w:lang w:eastAsia="en-US"/>
      </w:rPr>
      <w:fldChar w:fldCharType="begin"/>
    </w:r>
    <w:r w:rsidRPr="003439B8">
      <w:rPr>
        <w:b/>
        <w:snapToGrid w:val="0"/>
        <w:color w:val="auto"/>
        <w:lang w:eastAsia="en-US"/>
      </w:rPr>
      <w:instrText xml:space="preserve"> PAGE </w:instrText>
    </w:r>
    <w:r w:rsidRPr="003439B8">
      <w:rPr>
        <w:b/>
        <w:snapToGrid w:val="0"/>
        <w:color w:val="auto"/>
        <w:lang w:eastAsia="en-US"/>
      </w:rPr>
      <w:fldChar w:fldCharType="separate"/>
    </w:r>
    <w:r w:rsidR="005E382D">
      <w:rPr>
        <w:b/>
        <w:noProof/>
        <w:snapToGrid w:val="0"/>
        <w:color w:val="auto"/>
        <w:lang w:eastAsia="en-US"/>
      </w:rPr>
      <w:t>2</w:t>
    </w:r>
    <w:r w:rsidRPr="003439B8">
      <w:rPr>
        <w:b/>
        <w:snapToGrid w:val="0"/>
        <w:color w:val="auto"/>
        <w:lang w:eastAsia="en-US"/>
      </w:rPr>
      <w:fldChar w:fldCharType="end"/>
    </w:r>
    <w:r w:rsidRPr="003439B8">
      <w:rPr>
        <w:b/>
        <w:snapToGrid w:val="0"/>
        <w:color w:val="auto"/>
        <w:lang w:eastAsia="en-US"/>
      </w:rPr>
      <w:t xml:space="preserve"> of </w:t>
    </w:r>
    <w:r w:rsidRPr="003439B8">
      <w:rPr>
        <w:b/>
        <w:snapToGrid w:val="0"/>
        <w:color w:val="auto"/>
        <w:lang w:eastAsia="en-US"/>
      </w:rPr>
      <w:fldChar w:fldCharType="begin"/>
    </w:r>
    <w:r w:rsidRPr="003439B8">
      <w:rPr>
        <w:b/>
        <w:snapToGrid w:val="0"/>
        <w:color w:val="auto"/>
        <w:lang w:eastAsia="en-US"/>
      </w:rPr>
      <w:instrText xml:space="preserve"> NUMPAGES </w:instrText>
    </w:r>
    <w:r w:rsidRPr="003439B8">
      <w:rPr>
        <w:b/>
        <w:snapToGrid w:val="0"/>
        <w:color w:val="auto"/>
        <w:lang w:eastAsia="en-US"/>
      </w:rPr>
      <w:fldChar w:fldCharType="separate"/>
    </w:r>
    <w:r w:rsidR="005E382D">
      <w:rPr>
        <w:b/>
        <w:noProof/>
        <w:snapToGrid w:val="0"/>
        <w:color w:val="auto"/>
        <w:lang w:eastAsia="en-US"/>
      </w:rPr>
      <w:t>2</w:t>
    </w:r>
    <w:r w:rsidRPr="003439B8">
      <w:rPr>
        <w:b/>
        <w:snapToGrid w:val="0"/>
        <w:color w:val="auto"/>
        <w:lang w:eastAsia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9B8" w:rsidRPr="003439B8" w:rsidRDefault="003439B8" w:rsidP="003439B8">
    <w:pPr>
      <w:pStyle w:val="Footer"/>
      <w:jc w:val="right"/>
      <w:rPr>
        <w:b/>
        <w:color w:val="auto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D90" w:rsidRDefault="00C96D90">
      <w:r>
        <w:separator/>
      </w:r>
    </w:p>
  </w:footnote>
  <w:footnote w:type="continuationSeparator" w:id="0">
    <w:p w:rsidR="00C96D90" w:rsidRDefault="00C96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26C" w:rsidRDefault="0073626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6C2C08"/>
    <w:multiLevelType w:val="hybridMultilevel"/>
    <w:tmpl w:val="E5627E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C5"/>
    <w:rsid w:val="00052261"/>
    <w:rsid w:val="00075AC5"/>
    <w:rsid w:val="000B03E4"/>
    <w:rsid w:val="000E7F0B"/>
    <w:rsid w:val="001E2B2C"/>
    <w:rsid w:val="002051A1"/>
    <w:rsid w:val="00284775"/>
    <w:rsid w:val="00291642"/>
    <w:rsid w:val="00312E83"/>
    <w:rsid w:val="003250D9"/>
    <w:rsid w:val="003439B8"/>
    <w:rsid w:val="0035294D"/>
    <w:rsid w:val="00383334"/>
    <w:rsid w:val="00413206"/>
    <w:rsid w:val="0043613E"/>
    <w:rsid w:val="0044142B"/>
    <w:rsid w:val="004C2251"/>
    <w:rsid w:val="004D1AAD"/>
    <w:rsid w:val="00533373"/>
    <w:rsid w:val="005367F4"/>
    <w:rsid w:val="005619AD"/>
    <w:rsid w:val="0059748C"/>
    <w:rsid w:val="005B147A"/>
    <w:rsid w:val="005E382D"/>
    <w:rsid w:val="0073626C"/>
    <w:rsid w:val="0076051A"/>
    <w:rsid w:val="00921B2C"/>
    <w:rsid w:val="00A4169A"/>
    <w:rsid w:val="00A8244A"/>
    <w:rsid w:val="00AA5BB7"/>
    <w:rsid w:val="00AD522A"/>
    <w:rsid w:val="00B16401"/>
    <w:rsid w:val="00B91B11"/>
    <w:rsid w:val="00C22184"/>
    <w:rsid w:val="00C618D1"/>
    <w:rsid w:val="00C61D2E"/>
    <w:rsid w:val="00C936A8"/>
    <w:rsid w:val="00C96D90"/>
    <w:rsid w:val="00D27CAF"/>
    <w:rsid w:val="00F6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56552639-DCB3-41A1-B741-F7221EE9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right" w:pos="9072"/>
      </w:tabs>
    </w:pPr>
    <w:rPr>
      <w:color w:val="808080"/>
      <w:sz w:val="16"/>
    </w:rPr>
  </w:style>
  <w:style w:type="paragraph" w:styleId="Footer">
    <w:name w:val="footer"/>
    <w:basedOn w:val="Normal"/>
    <w:pPr>
      <w:tabs>
        <w:tab w:val="right" w:pos="9072"/>
      </w:tabs>
    </w:pPr>
    <w:rPr>
      <w:color w:val="808080"/>
      <w:sz w:val="16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Pr>
      <w:i/>
      <w:iCs/>
    </w:rPr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52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84287043A9346B4D59913699E68F0" ma:contentTypeVersion="0" ma:contentTypeDescription="Create a new document." ma:contentTypeScope="" ma:versionID="8acdbba5c334a00e3d5b4e80a4e939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7D1588-880B-491A-B24D-469129C825D3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6D6818A-2567-4986-98AE-BE0EF56F73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EB1E1F-2B15-4616-A566-C6AABB0EE7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Electronic Letter</vt:lpstr>
    </vt:vector>
  </TitlesOfParts>
  <Company>AMA Victoria</Company>
  <LinksUpToDate>false</LinksUpToDate>
  <CharactersWithSpaces>2159</CharactersWithSpaces>
  <SharedDoc>false</SharedDoc>
  <HLinks>
    <vt:vector size="6" baseType="variant">
      <vt:variant>
        <vt:i4>5242925</vt:i4>
      </vt:variant>
      <vt:variant>
        <vt:i4>0</vt:i4>
      </vt:variant>
      <vt:variant>
        <vt:i4>0</vt:i4>
      </vt:variant>
      <vt:variant>
        <vt:i4>5</vt:i4>
      </vt:variant>
      <vt:variant>
        <vt:lpwstr>mailto:taxlawdesign@treasury.gov.au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 Letter</dc:title>
  <dc:subject/>
  <dc:creator>Aspa Papas</dc:creator>
  <cp:keywords/>
  <dc:description/>
  <cp:lastModifiedBy>Felicity Ryan</cp:lastModifiedBy>
  <cp:revision>4</cp:revision>
  <cp:lastPrinted>2015-08-20T03:27:00Z</cp:lastPrinted>
  <dcterms:created xsi:type="dcterms:W3CDTF">2015-11-05T23:18:00Z</dcterms:created>
  <dcterms:modified xsi:type="dcterms:W3CDTF">2015-11-05T23:20:00Z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0x010100D9784287043A9346B4D59913699E68F0</vt:lpwstr>
  </property>
</Properties>
</file>